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6B" w:rsidRDefault="00842D6B" w:rsidP="00842D6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00689">
        <w:rPr>
          <w:rFonts w:ascii="Arial" w:hAnsi="Arial" w:cs="Arial"/>
          <w:b/>
          <w:sz w:val="36"/>
          <w:szCs w:val="36"/>
        </w:rPr>
        <w:t>VERSIÓN ESTENOGRÁFICA</w:t>
      </w:r>
    </w:p>
    <w:p w:rsidR="00670C06" w:rsidRPr="00210A15" w:rsidRDefault="00EE1F77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SEGUNDA</w:t>
      </w:r>
      <w:r w:rsidR="00DE6728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A191B">
        <w:rPr>
          <w:rFonts w:ascii="Arial" w:hAnsi="Arial" w:cs="Arial"/>
          <w:b/>
          <w:sz w:val="24"/>
          <w:szCs w:val="24"/>
          <w:lang w:val="es-ES"/>
        </w:rPr>
        <w:t xml:space="preserve">SESIÓN </w:t>
      </w:r>
      <w:r w:rsidR="00736E8F">
        <w:rPr>
          <w:rFonts w:ascii="Arial" w:hAnsi="Arial" w:cs="Arial"/>
          <w:b/>
          <w:sz w:val="24"/>
          <w:szCs w:val="24"/>
          <w:lang w:val="es-ES"/>
        </w:rPr>
        <w:t>EXTRAORDINARIA (1R</w:t>
      </w:r>
      <w:r w:rsidR="00DE6728">
        <w:rPr>
          <w:rFonts w:ascii="Arial" w:hAnsi="Arial" w:cs="Arial"/>
          <w:b/>
          <w:sz w:val="24"/>
          <w:szCs w:val="24"/>
          <w:lang w:val="es-ES"/>
        </w:rPr>
        <w:t>A</w:t>
      </w:r>
      <w:r w:rsidR="00736E8F">
        <w:rPr>
          <w:rFonts w:ascii="Arial" w:hAnsi="Arial" w:cs="Arial"/>
          <w:b/>
          <w:sz w:val="24"/>
          <w:szCs w:val="24"/>
          <w:lang w:val="es-ES"/>
        </w:rPr>
        <w:t>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670C06" w:rsidRPr="00210A15" w:rsidRDefault="00670C06" w:rsidP="00670C06">
      <w:pPr>
        <w:jc w:val="both"/>
        <w:rPr>
          <w:rFonts w:ascii="Arial" w:hAnsi="Arial" w:cs="Arial"/>
          <w:sz w:val="16"/>
          <w:szCs w:val="16"/>
          <w:lang w:val="es-ES"/>
        </w:rPr>
      </w:pPr>
    </w:p>
    <w:p w:rsidR="00842D6B" w:rsidRDefault="00842D6B" w:rsidP="00842D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>
        <w:rPr>
          <w:rFonts w:ascii="Arial" w:hAnsi="Arial" w:cs="Arial"/>
          <w:sz w:val="24"/>
          <w:szCs w:val="24"/>
          <w:lang w:val="es-ES"/>
        </w:rPr>
        <w:t>29 de septiembre del 2022</w:t>
      </w:r>
    </w:p>
    <w:p w:rsidR="00842D6B" w:rsidRDefault="00842D6B" w:rsidP="00842D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HORA: </w:t>
      </w:r>
      <w:r>
        <w:rPr>
          <w:rFonts w:ascii="Arial" w:hAnsi="Arial" w:cs="Arial"/>
          <w:sz w:val="24"/>
          <w:szCs w:val="24"/>
          <w:lang w:val="es-ES"/>
        </w:rPr>
        <w:t>14:00</w:t>
      </w:r>
      <w:r w:rsidRPr="00D45BC4">
        <w:rPr>
          <w:rFonts w:ascii="Arial" w:hAnsi="Arial" w:cs="Arial"/>
          <w:sz w:val="24"/>
          <w:szCs w:val="24"/>
          <w:lang w:val="es-ES"/>
        </w:rPr>
        <w:t xml:space="preserve"> horas</w:t>
      </w:r>
    </w:p>
    <w:p w:rsidR="00842D6B" w:rsidRDefault="00842D6B" w:rsidP="00842D6B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LUGAR: </w:t>
      </w:r>
      <w:r w:rsidRPr="00D45BC4">
        <w:rPr>
          <w:rFonts w:ascii="Arial" w:hAnsi="Arial" w:cs="Arial"/>
          <w:sz w:val="24"/>
          <w:szCs w:val="24"/>
          <w:lang w:val="es-ES"/>
        </w:rPr>
        <w:t>Presencial</w:t>
      </w:r>
    </w:p>
    <w:p w:rsidR="00842D6B" w:rsidRDefault="00842D6B" w:rsidP="00670C06">
      <w:pPr>
        <w:jc w:val="both"/>
        <w:rPr>
          <w:rFonts w:ascii="Arial" w:hAnsi="Arial" w:cs="Arial"/>
          <w:lang w:val="es-ES"/>
        </w:rPr>
      </w:pPr>
    </w:p>
    <w:p w:rsidR="00842D6B" w:rsidRDefault="00842D6B" w:rsidP="00842D6B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1.- </w:t>
      </w:r>
      <w:r w:rsidR="00EE1F77" w:rsidRPr="00EE1F77">
        <w:rPr>
          <w:rFonts w:ascii="Arial" w:hAnsi="Arial" w:cs="Arial"/>
          <w:b/>
          <w:lang w:val="es-ES"/>
        </w:rPr>
        <w:t>Maestra María de los Ángeles Gutiérrez Caballero</w:t>
      </w:r>
    </w:p>
    <w:p w:rsidR="00842D6B" w:rsidRDefault="00842D6B" w:rsidP="00842D6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Contralora Interna d</w:t>
      </w:r>
      <w:r w:rsidR="00EE1F77" w:rsidRPr="00EE1F77">
        <w:rPr>
          <w:rFonts w:ascii="Arial" w:hAnsi="Arial" w:cs="Arial"/>
          <w:lang w:val="es-ES"/>
        </w:rPr>
        <w:t xml:space="preserve">e la universidad </w:t>
      </w:r>
    </w:p>
    <w:p w:rsidR="00842D6B" w:rsidRDefault="00842D6B" w:rsidP="00842D6B">
      <w:pPr>
        <w:spacing w:after="0"/>
        <w:jc w:val="both"/>
        <w:rPr>
          <w:rFonts w:ascii="Arial" w:hAnsi="Arial" w:cs="Arial"/>
          <w:lang w:val="es-ES"/>
        </w:rPr>
      </w:pPr>
    </w:p>
    <w:p w:rsidR="00842D6B" w:rsidRDefault="00842D6B" w:rsidP="00842D6B">
      <w:pPr>
        <w:spacing w:after="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>2.-</w:t>
      </w:r>
      <w:r w:rsidR="004541B5" w:rsidRPr="00EE1F77">
        <w:rPr>
          <w:rFonts w:ascii="Arial" w:hAnsi="Arial" w:cs="Arial"/>
          <w:b/>
          <w:lang w:val="es-ES"/>
        </w:rPr>
        <w:t>Lic. Julia Contrera</w:t>
      </w:r>
      <w:r w:rsidR="004541B5" w:rsidRPr="004541B5">
        <w:rPr>
          <w:rFonts w:ascii="Arial" w:hAnsi="Arial" w:cs="Arial"/>
          <w:b/>
          <w:lang w:val="es-ES"/>
        </w:rPr>
        <w:t>s Tejeda</w:t>
      </w:r>
    </w:p>
    <w:p w:rsidR="00842D6B" w:rsidRDefault="00842D6B" w:rsidP="00842D6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    </w:t>
      </w:r>
      <w:r w:rsidRPr="00842D6B">
        <w:rPr>
          <w:rFonts w:ascii="Arial" w:hAnsi="Arial" w:cs="Arial"/>
          <w:lang w:val="es-ES"/>
        </w:rPr>
        <w:t>Titular de la Unidad de Transparencia de la Universidad.</w:t>
      </w:r>
    </w:p>
    <w:p w:rsidR="00842D6B" w:rsidRPr="00842D6B" w:rsidRDefault="00842D6B" w:rsidP="00842D6B">
      <w:pPr>
        <w:spacing w:after="0"/>
        <w:jc w:val="both"/>
        <w:rPr>
          <w:rFonts w:ascii="Arial" w:hAnsi="Arial" w:cs="Arial"/>
          <w:lang w:val="es-ES"/>
        </w:rPr>
      </w:pPr>
    </w:p>
    <w:p w:rsidR="00670C06" w:rsidRPr="0096366B" w:rsidRDefault="004541B5" w:rsidP="00842D6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</w:t>
      </w:r>
      <w:r w:rsidR="00842D6B">
        <w:rPr>
          <w:rFonts w:ascii="Arial" w:hAnsi="Arial" w:cs="Arial"/>
          <w:lang w:val="es-ES"/>
        </w:rPr>
        <w:t>La sesión se desarrolló</w:t>
      </w:r>
      <w:r>
        <w:rPr>
          <w:rFonts w:ascii="Arial" w:hAnsi="Arial" w:cs="Arial"/>
          <w:lang w:val="es-ES"/>
        </w:rPr>
        <w:t xml:space="preserve"> de conformidad con lo siguiente:</w:t>
      </w:r>
      <w:r w:rsidR="0096366B">
        <w:rPr>
          <w:rFonts w:ascii="Arial" w:hAnsi="Arial" w:cs="Arial"/>
          <w:lang w:val="es-ES"/>
        </w:rPr>
        <w:t xml:space="preserve"> </w:t>
      </w:r>
    </w:p>
    <w:p w:rsidR="00842D6B" w:rsidRDefault="00842D6B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670C06" w:rsidRPr="00210A15" w:rsidRDefault="00670C06" w:rsidP="00670C06">
      <w:pPr>
        <w:jc w:val="both"/>
        <w:rPr>
          <w:rFonts w:ascii="Arial" w:hAnsi="Arial" w:cs="Arial"/>
          <w:b/>
          <w:sz w:val="16"/>
          <w:szCs w:val="16"/>
          <w:lang w:val="es-ES"/>
        </w:rPr>
      </w:pPr>
    </w:p>
    <w:p w:rsidR="00670C06" w:rsidRPr="00210A15" w:rsidRDefault="00210A15" w:rsidP="00670C06">
      <w:pPr>
        <w:tabs>
          <w:tab w:val="left" w:pos="7741"/>
        </w:tabs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732907">
        <w:rPr>
          <w:rFonts w:ascii="Arial" w:hAnsi="Arial" w:cs="Arial"/>
          <w:lang w:val="es-ES"/>
        </w:rPr>
        <w:t>Bienvenida y declaración de apertura de la reunión</w:t>
      </w:r>
      <w:r w:rsidR="00670C06" w:rsidRPr="00210A15">
        <w:rPr>
          <w:rFonts w:ascii="Arial" w:hAnsi="Arial" w:cs="Arial"/>
          <w:sz w:val="24"/>
          <w:szCs w:val="24"/>
          <w:lang w:val="es-ES"/>
        </w:rPr>
        <w:t>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732907" w:rsidRDefault="00210A15" w:rsidP="00670C06">
      <w:pPr>
        <w:jc w:val="both"/>
        <w:rPr>
          <w:rFonts w:ascii="Arial" w:hAnsi="Arial" w:cs="Arial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732907">
        <w:rPr>
          <w:rFonts w:ascii="Arial" w:hAnsi="Arial" w:cs="Arial"/>
          <w:lang w:val="es-ES"/>
        </w:rPr>
        <w:t>Lectura en su caso la aprobación del orden del día.</w:t>
      </w:r>
      <w:r w:rsidR="00670C06" w:rsidRPr="00732907">
        <w:rPr>
          <w:rFonts w:ascii="Arial" w:hAnsi="Arial" w:cs="Arial"/>
          <w:b/>
          <w:lang w:val="es-ES"/>
        </w:rPr>
        <w:t xml:space="preserve"> </w:t>
      </w:r>
    </w:p>
    <w:p w:rsidR="003A191B" w:rsidRPr="00DE6728" w:rsidRDefault="00210A15" w:rsidP="003A191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="00DE6728">
        <w:rPr>
          <w:rFonts w:ascii="Arial" w:hAnsi="Arial" w:cs="Arial"/>
          <w:b/>
          <w:sz w:val="24"/>
          <w:szCs w:val="24"/>
          <w:lang w:val="es-ES"/>
        </w:rPr>
        <w:t xml:space="preserve">– </w:t>
      </w:r>
      <w:r w:rsidR="00501462" w:rsidRPr="00732907">
        <w:rPr>
          <w:rFonts w:ascii="Arial" w:hAnsi="Arial" w:cs="Arial"/>
          <w:lang w:val="es-ES"/>
        </w:rPr>
        <w:t xml:space="preserve">Actualización y en su caso la </w:t>
      </w:r>
      <w:r w:rsidR="00DE6728" w:rsidRPr="00732907">
        <w:rPr>
          <w:rFonts w:ascii="Arial" w:hAnsi="Arial" w:cs="Arial"/>
          <w:lang w:val="es-ES"/>
        </w:rPr>
        <w:t xml:space="preserve">aprobación </w:t>
      </w:r>
      <w:r w:rsidR="00501462" w:rsidRPr="00732907">
        <w:rPr>
          <w:rFonts w:ascii="Arial" w:hAnsi="Arial" w:cs="Arial"/>
          <w:lang w:val="es-ES"/>
        </w:rPr>
        <w:t>del Documento de Diagnostico donde los sujetos obligados garanticen las condiciones de accesibilidad, que permitan el ejercicio de los derechos humanos de acceso a la información y protección de datos personales a grupos vulnerables.</w:t>
      </w:r>
    </w:p>
    <w:p w:rsidR="00DE6728" w:rsidRPr="00732907" w:rsidRDefault="00210A15" w:rsidP="00DE6728">
      <w:pPr>
        <w:jc w:val="both"/>
        <w:rPr>
          <w:rFonts w:ascii="Arial" w:hAnsi="Arial" w:cs="Arial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CUARTO.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DE6728" w:rsidRPr="00732907">
        <w:rPr>
          <w:rFonts w:ascii="Arial" w:hAnsi="Arial" w:cs="Arial"/>
          <w:lang w:val="es-ES"/>
        </w:rPr>
        <w:t>Termino de la reunión y cierre de la sesión.</w:t>
      </w:r>
    </w:p>
    <w:p w:rsidR="00670C06" w:rsidRPr="004541B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4541B5" w:rsidRPr="00732907" w:rsidRDefault="00501462" w:rsidP="004541B5">
      <w:pPr>
        <w:jc w:val="both"/>
        <w:rPr>
          <w:rFonts w:ascii="Arial" w:hAnsi="Arial" w:cs="Arial"/>
          <w:lang w:val="es-ES"/>
        </w:rPr>
      </w:pPr>
      <w:r w:rsidRPr="00732907">
        <w:rPr>
          <w:rFonts w:ascii="Arial" w:hAnsi="Arial" w:cs="Arial"/>
          <w:b/>
          <w:lang w:val="es-ES"/>
        </w:rPr>
        <w:t>Lic. Julia Contreras Tejeda,</w:t>
      </w:r>
      <w:r w:rsidRPr="00732907">
        <w:rPr>
          <w:rFonts w:ascii="Arial" w:hAnsi="Arial" w:cs="Arial"/>
          <w:lang w:val="es-ES"/>
        </w:rPr>
        <w:t xml:space="preserve"> en su carácter de secretaria del comité</w:t>
      </w:r>
      <w:r w:rsidR="004541B5" w:rsidRPr="00732907">
        <w:rPr>
          <w:rFonts w:ascii="Arial" w:hAnsi="Arial" w:cs="Arial"/>
          <w:lang w:val="es-ES"/>
        </w:rPr>
        <w:t>, da la bienvenida a los asistentes, una vez confirmando el quórum legal se declara abierta la sesión, de conformidad con el artículo 29 numeral 2 de la Ley de Transparencia y Acceso a la Información Pública de Estado de Jalisco y sus Municipios.</w:t>
      </w:r>
    </w:p>
    <w:p w:rsidR="00670C06" w:rsidRPr="00210A15" w:rsidRDefault="00670C06" w:rsidP="00670C0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Lectura en su caso </w:t>
      </w:r>
      <w:r w:rsidR="00CA1B7B">
        <w:rPr>
          <w:rFonts w:ascii="Arial" w:hAnsi="Arial" w:cs="Arial"/>
          <w:b/>
          <w:sz w:val="24"/>
          <w:szCs w:val="24"/>
          <w:lang w:val="es-ES"/>
        </w:rPr>
        <w:t>la aprobación del orden del Día.</w:t>
      </w:r>
    </w:p>
    <w:p w:rsidR="00842D6B" w:rsidRPr="00D40AEF" w:rsidRDefault="00842D6B" w:rsidP="00842D6B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lang w:val="es-ES"/>
        </w:rPr>
        <w:t xml:space="preserve">Lic. Julia Contreras Tejeda: </w:t>
      </w:r>
      <w:r w:rsidRPr="00D40AEF">
        <w:rPr>
          <w:rFonts w:ascii="Arial" w:hAnsi="Arial" w:cs="Arial"/>
          <w:sz w:val="24"/>
          <w:szCs w:val="24"/>
          <w:lang w:val="es-ES"/>
        </w:rPr>
        <w:t>comienza dando lectura a la orden del día, preguntando a los asistentes si están de acuerdo con la misma donde estos manifiestan estar de acuerdo, procede a dar lectura al tercer punto de la presente.</w:t>
      </w:r>
    </w:p>
    <w:p w:rsidR="00DE6728" w:rsidRPr="00DB4A84" w:rsidRDefault="00CA1B7B" w:rsidP="00DB4A84">
      <w:pPr>
        <w:ind w:firstLine="426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3.</w:t>
      </w:r>
      <w:r w:rsidR="00DB4A84" w:rsidRPr="00DB4A84">
        <w:rPr>
          <w:rFonts w:ascii="Arial" w:hAnsi="Arial" w:cs="Arial"/>
          <w:sz w:val="24"/>
          <w:szCs w:val="24"/>
          <w:lang w:val="es-ES"/>
        </w:rPr>
        <w:t xml:space="preserve"> </w:t>
      </w:r>
      <w:r w:rsidR="00DB4A84" w:rsidRPr="00DB4A84">
        <w:rPr>
          <w:rFonts w:ascii="Arial" w:hAnsi="Arial" w:cs="Arial"/>
          <w:b/>
          <w:sz w:val="24"/>
          <w:szCs w:val="24"/>
          <w:lang w:val="es-ES"/>
        </w:rPr>
        <w:t>Actualización y en su caso la aprobación del Documento de Diagnostico donde los sujetos obligados garanticen las condiciones de accesibilidad, que permitan el ejercicio de los derechos humanos de acceso a la información y protección de datos personales a grupos vulnerables.</w:t>
      </w:r>
      <w:r w:rsidR="00DE6728" w:rsidRPr="00DB4A84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DB4A84" w:rsidRPr="00732907" w:rsidRDefault="00CA1B7B" w:rsidP="00732907">
      <w:pPr>
        <w:jc w:val="both"/>
        <w:rPr>
          <w:rFonts w:ascii="Arial" w:hAnsi="Arial" w:cs="Arial"/>
          <w:lang w:val="es-ES"/>
        </w:rPr>
      </w:pPr>
      <w:r w:rsidRPr="00842D6B">
        <w:rPr>
          <w:rFonts w:ascii="Arial" w:hAnsi="Arial" w:cs="Arial"/>
          <w:b/>
          <w:lang w:val="es-ES"/>
        </w:rPr>
        <w:t>Lic. Julia Contreras Tejeda</w:t>
      </w:r>
      <w:r w:rsidR="00842D6B">
        <w:rPr>
          <w:rFonts w:ascii="Arial" w:hAnsi="Arial" w:cs="Arial"/>
          <w:b/>
          <w:lang w:val="es-ES"/>
        </w:rPr>
        <w:t>:</w:t>
      </w:r>
      <w:r w:rsidRPr="00732907">
        <w:rPr>
          <w:rFonts w:ascii="Arial" w:hAnsi="Arial" w:cs="Arial"/>
          <w:lang w:val="es-ES"/>
        </w:rPr>
        <w:t xml:space="preserve"> </w:t>
      </w:r>
      <w:r w:rsidR="00DB4A84" w:rsidRPr="00732907">
        <w:rPr>
          <w:rFonts w:ascii="Arial" w:hAnsi="Arial" w:cs="Arial"/>
          <w:lang w:val="es-ES"/>
        </w:rPr>
        <w:t xml:space="preserve">presenta la </w:t>
      </w:r>
      <w:r w:rsidR="00DB4A84" w:rsidRPr="00732907">
        <w:rPr>
          <w:rFonts w:ascii="Arial" w:hAnsi="Arial" w:cs="Arial"/>
          <w:b/>
          <w:lang w:val="es-ES"/>
        </w:rPr>
        <w:t>actualización</w:t>
      </w:r>
      <w:r w:rsidR="00DB4A84" w:rsidRPr="00732907">
        <w:rPr>
          <w:rFonts w:ascii="Arial" w:hAnsi="Arial" w:cs="Arial"/>
          <w:lang w:val="es-ES"/>
        </w:rPr>
        <w:t xml:space="preserve"> del documento de </w:t>
      </w:r>
      <w:r w:rsidR="00732907" w:rsidRPr="00732907">
        <w:rPr>
          <w:rFonts w:ascii="Arial" w:hAnsi="Arial" w:cs="Arial"/>
          <w:lang w:val="es-ES"/>
        </w:rPr>
        <w:t>diagnóstico</w:t>
      </w:r>
      <w:r w:rsidR="00732907">
        <w:rPr>
          <w:rFonts w:ascii="Arial" w:hAnsi="Arial" w:cs="Arial"/>
          <w:lang w:val="es-ES"/>
        </w:rPr>
        <w:t xml:space="preserve"> </w:t>
      </w:r>
      <w:r w:rsidR="00DB4A84" w:rsidRPr="00732907">
        <w:rPr>
          <w:rFonts w:ascii="Arial" w:hAnsi="Arial" w:cs="Arial"/>
          <w:lang w:val="es-ES"/>
        </w:rPr>
        <w:t xml:space="preserve">donde los sujetos obligados garanticen las condiciones de accesibilidad, que permitan el ejercicio de los derechos humanos de acceso a la información y protección de datos </w:t>
      </w:r>
      <w:r w:rsidR="00732907">
        <w:rPr>
          <w:rFonts w:ascii="Arial" w:hAnsi="Arial" w:cs="Arial"/>
          <w:lang w:val="es-ES"/>
        </w:rPr>
        <w:t xml:space="preserve">personales a grupos vulnerables, </w:t>
      </w:r>
      <w:r w:rsidR="00732907" w:rsidRPr="00732907">
        <w:rPr>
          <w:rFonts w:ascii="Arial" w:hAnsi="Arial" w:cs="Arial"/>
          <w:lang w:val="es-ES"/>
        </w:rPr>
        <w:t>previamente</w:t>
      </w:r>
      <w:r w:rsidR="00732907">
        <w:rPr>
          <w:rFonts w:ascii="Arial" w:hAnsi="Arial" w:cs="Arial"/>
          <w:lang w:val="es-ES"/>
        </w:rPr>
        <w:t xml:space="preserve"> autorizado en la sesión décimo sexta</w:t>
      </w:r>
      <w:r w:rsidR="00A007BE">
        <w:rPr>
          <w:rFonts w:ascii="Arial" w:hAnsi="Arial" w:cs="Arial"/>
          <w:lang w:val="es-ES"/>
        </w:rPr>
        <w:t xml:space="preserve"> del presente comité.</w:t>
      </w:r>
    </w:p>
    <w:p w:rsidR="0009469A" w:rsidRPr="00732907" w:rsidRDefault="00842D6B" w:rsidP="00DB4A84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Señalando</w:t>
      </w:r>
      <w:r w:rsidR="00732907">
        <w:rPr>
          <w:rFonts w:ascii="Arial" w:hAnsi="Arial" w:cs="Arial"/>
          <w:lang w:val="es-ES"/>
        </w:rPr>
        <w:t xml:space="preserve"> los cambios y actualizaciones</w:t>
      </w:r>
      <w:r w:rsidR="00A007BE">
        <w:rPr>
          <w:rFonts w:ascii="Arial" w:hAnsi="Arial" w:cs="Arial"/>
          <w:lang w:val="es-ES"/>
        </w:rPr>
        <w:t xml:space="preserve"> realizadas en la página web de la universidad,</w:t>
      </w:r>
      <w:r w:rsidR="00732907">
        <w:rPr>
          <w:rFonts w:ascii="Arial" w:hAnsi="Arial" w:cs="Arial"/>
          <w:lang w:val="es-ES"/>
        </w:rPr>
        <w:t xml:space="preserve"> </w:t>
      </w:r>
      <w:r w:rsidR="00A007BE">
        <w:rPr>
          <w:rFonts w:ascii="Arial" w:hAnsi="Arial" w:cs="Arial"/>
          <w:lang w:val="es-ES"/>
        </w:rPr>
        <w:t xml:space="preserve">motivo por el cual se ajusta </w:t>
      </w:r>
      <w:r w:rsidR="00DB4A84" w:rsidRPr="00732907">
        <w:rPr>
          <w:rFonts w:ascii="Arial" w:hAnsi="Arial" w:cs="Arial"/>
          <w:lang w:val="es-ES"/>
        </w:rPr>
        <w:t xml:space="preserve">a las necesidades </w:t>
      </w:r>
      <w:r w:rsidR="0009469A" w:rsidRPr="00732907">
        <w:rPr>
          <w:rFonts w:ascii="Arial" w:hAnsi="Arial" w:cs="Arial"/>
          <w:lang w:val="es-ES"/>
        </w:rPr>
        <w:t>actuales y en cumplimiento a lo siguiente:</w:t>
      </w:r>
    </w:p>
    <w:p w:rsidR="0009469A" w:rsidRPr="0009469A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732907">
        <w:rPr>
          <w:rStyle w:val="Ninguno"/>
          <w:rFonts w:ascii="Arial" w:hAnsi="Arial" w:cs="Arial"/>
          <w:u w:color="2F2F2F"/>
        </w:rPr>
        <w:lastRenderedPageBreak/>
        <w:t>La fracción VII del artículo 2 de la Ley General, establece como uno de sus objetivos el promover, fomentar y difundir la cultura de la transparencia en el ejercicio de la función pública, así como el acceso a la información, la participación ciudadana y la rendición de cuentas, a través del establecimiento de políticas públicas y mecanismos que garanticen la publicidad de información oportuna, verificable, comprensible, actualizada y completa, que se difunda en los formatos más adecuados y accesibles para todo el público atendiendo en todo momento las condiciones sociales, económicas y culturales de cada región</w:t>
      </w:r>
      <w:r w:rsidRPr="0009469A">
        <w:rPr>
          <w:rStyle w:val="Ninguno"/>
          <w:rFonts w:ascii="Arial" w:hAnsi="Arial" w:cs="Arial"/>
          <w:sz w:val="24"/>
          <w:szCs w:val="24"/>
          <w:u w:color="2F2F2F"/>
        </w:rPr>
        <w:t>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sz w:val="24"/>
          <w:szCs w:val="24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La fracción I del artículo 3 de la Ley General de Transparencia y Acceso a la Información Pública define a los ajustes razones como a las modificaciones y adaptaciones necesarias y adecuadas que no impongan una carga desproporcionada o indebida, cuando se requieran en un caso particular, para garantizar a las personas con discapacidad el goce o ejercicio, en igualdad de condiciones, de los derechos humanos;</w:t>
      </w:r>
    </w:p>
    <w:p w:rsidR="0009469A" w:rsidRPr="0009469A" w:rsidRDefault="0009469A" w:rsidP="0009469A">
      <w:pPr>
        <w:pStyle w:val="Prrafodelista"/>
        <w:rPr>
          <w:rStyle w:val="Ninguno"/>
          <w:rFonts w:ascii="Arial" w:hAnsi="Arial" w:cs="Arial"/>
          <w:sz w:val="24"/>
          <w:szCs w:val="24"/>
          <w:u w:color="2F2F2F"/>
          <w:lang w:val="es-MX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 xml:space="preserve">rtículo 10 </w:t>
      </w:r>
      <w:r w:rsidRPr="00732907">
        <w:rPr>
          <w:rStyle w:val="Ninguno"/>
          <w:rFonts w:ascii="Arial" w:hAnsi="Arial" w:cs="Arial"/>
          <w:u w:color="2F2F2F"/>
        </w:rPr>
        <w:t xml:space="preserve">segundo párrafo </w:t>
      </w:r>
      <w:r w:rsidR="0009469A" w:rsidRPr="00732907">
        <w:rPr>
          <w:rStyle w:val="Ninguno"/>
          <w:rFonts w:ascii="Arial" w:hAnsi="Arial" w:cs="Arial"/>
          <w:u w:color="2F2F2F"/>
        </w:rPr>
        <w:t>de la Ley General de Transparencia y Acceso a la Información Pública prohíbe toda discriminación que menoscabe o anule la transparencia o acceso a la información pública en posesión de los sujetos obligados.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sz w:val="24"/>
          <w:szCs w:val="24"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13</w:t>
      </w:r>
      <w:r w:rsidRPr="00732907">
        <w:rPr>
          <w:rStyle w:val="Ninguno"/>
          <w:rFonts w:ascii="Arial" w:hAnsi="Arial" w:cs="Arial"/>
          <w:u w:color="2F2F2F"/>
        </w:rPr>
        <w:t xml:space="preserve"> segundo párrafo</w:t>
      </w:r>
      <w:r w:rsidR="0009469A" w:rsidRPr="00732907">
        <w:rPr>
          <w:rStyle w:val="Ninguno"/>
          <w:rFonts w:ascii="Arial" w:hAnsi="Arial" w:cs="Arial"/>
          <w:u w:color="2F2F2F"/>
        </w:rPr>
        <w:t xml:space="preserve"> de la Ley General de Transparencia y Acceso a la Información Pública señala que los sujetos obligados buscarán, en todo momento, que la información generada tenga un lenguaje sencillo para cualquier persona y se procurará, en la medida de lo posible, su accesibilidad y traducción a lenguas indígenas.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sz w:val="24"/>
          <w:szCs w:val="24"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15 de la Ley General de Transparencia y Acceso a la Información Pública señala que el ejercicio del derecho de acceso a la información no estará condicionado a que el solicitante acredite interés alguno o justifique su utilización, ni podrá condicionarse el mismo por motivos de discapacidad.</w:t>
      </w:r>
    </w:p>
    <w:p w:rsidR="0009469A" w:rsidRPr="00732907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b/>
          <w:bCs/>
          <w:u w:color="2F2F2F"/>
        </w:rPr>
      </w:pPr>
    </w:p>
    <w:p w:rsidR="0009469A" w:rsidRPr="00732907" w:rsidRDefault="004D66C6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>A</w:t>
      </w:r>
      <w:r w:rsidR="0009469A" w:rsidRPr="00732907">
        <w:rPr>
          <w:rStyle w:val="Ninguno"/>
          <w:rFonts w:ascii="Arial" w:hAnsi="Arial" w:cs="Arial"/>
          <w:u w:color="2F2F2F"/>
        </w:rPr>
        <w:t>rtículo 16 de la Ley General de Transparencia y Acceso a la Información Pública establece que toda persona tiene derecho de acceso a la información, sin discriminación, por motivo alguno.</w:t>
      </w:r>
    </w:p>
    <w:p w:rsidR="0009469A" w:rsidRPr="00732907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Los </w:t>
      </w:r>
      <w:r w:rsidRPr="00732907">
        <w:rPr>
          <w:rStyle w:val="Ninguno"/>
          <w:rFonts w:ascii="Arial" w:hAnsi="Arial" w:cs="Arial"/>
          <w:i/>
          <w:iCs/>
          <w:u w:color="2F2F2F"/>
        </w:rPr>
        <w:t>Criterios para que los sujetos obligados garanticen las condiciones de accesibilidad que permitan el ejercicio del derecho de acceso a la información a los grupos en situación de vulnerabilidad</w:t>
      </w:r>
      <w:r w:rsidRPr="00732907">
        <w:rPr>
          <w:rStyle w:val="Ninguno"/>
          <w:rFonts w:ascii="Arial" w:hAnsi="Arial" w:cs="Arial"/>
          <w:u w:color="2F2F2F"/>
        </w:rPr>
        <w:t xml:space="preserve"> (en adelante, Criterios de Accesibilidad) del Consejo Nacional del Sistema Nacional de Transparencia, Acceso a la Información Pública y Protección de Datos Personales, tienen por objeto establecer los elementos que permitan a los sujetos obligados identificar, implementar y promover acciones para que garanticen la participación e inclusión plena, en equidad e igualdad de condiciones y sin discriminación alguna, en el goce y ejercicio de los derechos humanos de acceso a la información y protección de los datos personales a los grupos en situación de vulnerabilidad, de conformidad con sus atribuciones.</w:t>
      </w:r>
    </w:p>
    <w:p w:rsidR="0009469A" w:rsidRPr="0009469A" w:rsidRDefault="0009469A" w:rsidP="0009469A">
      <w:pPr>
        <w:pStyle w:val="Predeterminado"/>
        <w:jc w:val="both"/>
        <w:rPr>
          <w:rStyle w:val="Ninguno"/>
          <w:rFonts w:ascii="Arial" w:eastAsia="Arial Narrow" w:hAnsi="Arial" w:cs="Arial"/>
          <w:sz w:val="24"/>
          <w:szCs w:val="24"/>
          <w:u w:color="2F2F2F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El criterio tercero de los </w:t>
      </w:r>
      <w:r w:rsidRPr="00732907">
        <w:rPr>
          <w:rStyle w:val="Ninguno"/>
          <w:rFonts w:ascii="Arial" w:hAnsi="Arial" w:cs="Arial"/>
          <w:i/>
          <w:iCs/>
          <w:u w:color="2F2F2F"/>
        </w:rPr>
        <w:t xml:space="preserve">Criterios </w:t>
      </w:r>
      <w:r w:rsidRPr="00732907">
        <w:rPr>
          <w:rStyle w:val="Ninguno"/>
          <w:rFonts w:ascii="Arial" w:hAnsi="Arial" w:cs="Arial"/>
          <w:u w:color="2F2F2F"/>
        </w:rPr>
        <w:t>de Accesibilidad señala que los sujetos obligados, en el marco de sus atribuciones, deberán promover e implementar acciones tendientes a garantizar las condiciones de accesibilidad para que los grupos en situación de vulnerabilidad puedan ejercer, en igualdad de condiciones y sin discriminación alguna, los derechos humanos de acceso a la información y protección de datos personales.</w:t>
      </w:r>
    </w:p>
    <w:p w:rsidR="0009469A" w:rsidRPr="0009469A" w:rsidRDefault="0009469A" w:rsidP="0009469A">
      <w:pPr>
        <w:pStyle w:val="Prrafodelista"/>
        <w:rPr>
          <w:rStyle w:val="Ninguno"/>
          <w:rFonts w:ascii="Arial" w:hAnsi="Arial" w:cs="Arial"/>
          <w:sz w:val="24"/>
          <w:szCs w:val="24"/>
          <w:u w:color="2F2F2F"/>
          <w:lang w:val="es-MX"/>
        </w:rPr>
      </w:pPr>
    </w:p>
    <w:p w:rsidR="0009469A" w:rsidRPr="00732907" w:rsidRDefault="0009469A" w:rsidP="0009469A">
      <w:pPr>
        <w:pStyle w:val="Predeterminado"/>
        <w:numPr>
          <w:ilvl w:val="0"/>
          <w:numId w:val="7"/>
        </w:numPr>
        <w:jc w:val="both"/>
        <w:rPr>
          <w:rFonts w:ascii="Arial" w:hAnsi="Arial" w:cs="Arial"/>
        </w:rPr>
      </w:pPr>
      <w:r w:rsidRPr="00732907">
        <w:rPr>
          <w:rStyle w:val="Ninguno"/>
          <w:rFonts w:ascii="Arial" w:hAnsi="Arial" w:cs="Arial"/>
          <w:u w:color="2F2F2F"/>
        </w:rPr>
        <w:t xml:space="preserve">El criterio sexto de los </w:t>
      </w:r>
      <w:r w:rsidRPr="00732907">
        <w:rPr>
          <w:rStyle w:val="Ninguno"/>
          <w:rFonts w:ascii="Arial" w:hAnsi="Arial" w:cs="Arial"/>
          <w:i/>
          <w:iCs/>
          <w:u w:color="2F2F2F"/>
        </w:rPr>
        <w:t xml:space="preserve">Criterios </w:t>
      </w:r>
      <w:r w:rsidRPr="00732907">
        <w:rPr>
          <w:rStyle w:val="Ninguno"/>
          <w:rFonts w:ascii="Arial" w:hAnsi="Arial" w:cs="Arial"/>
          <w:u w:color="2F2F2F"/>
        </w:rPr>
        <w:t>de Accesibilidad señálala que los sujetos obligados deberán elaborar y actualizar cada tres años un diagnóstico de las Unidades de Transparencia y, en su caso, los centros de atención a la sociedad o sus equivalentes responsables de orientar y asesorar a las personas sobre el ejercicio de los derechos humanos de acceso a la información y protección de datos personales, para identificar y evaluar la situación existente, los recursos disponibles y las acciones tendientes a garantizar estos derechos a los grupos en situación de vulnerabilidad.</w:t>
      </w:r>
    </w:p>
    <w:p w:rsidR="0009469A" w:rsidRDefault="0009469A" w:rsidP="00390A85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CC363F" w:rsidRPr="00732907" w:rsidRDefault="00842D6B" w:rsidP="00390A85">
      <w:pPr>
        <w:jc w:val="both"/>
        <w:rPr>
          <w:rFonts w:ascii="Arial" w:eastAsia="Times New Roman" w:hAnsi="Arial" w:cs="Arial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comente que </w:t>
      </w:r>
      <w:r w:rsidR="00CA1B7B" w:rsidRPr="00732907">
        <w:rPr>
          <w:rFonts w:ascii="Arial" w:hAnsi="Arial" w:cs="Arial"/>
          <w:lang w:val="es-ES"/>
        </w:rPr>
        <w:t xml:space="preserve">la unidad de </w:t>
      </w:r>
      <w:r w:rsidR="0009469A" w:rsidRPr="00732907">
        <w:rPr>
          <w:rFonts w:ascii="Arial" w:eastAsia="Times New Roman" w:hAnsi="Arial" w:cs="Arial"/>
          <w:lang w:val="es-ES"/>
        </w:rPr>
        <w:t xml:space="preserve">transparencia en conjunto con </w:t>
      </w:r>
      <w:r w:rsidR="00CC363F" w:rsidRPr="00732907">
        <w:rPr>
          <w:rFonts w:ascii="Arial" w:eastAsia="Times New Roman" w:hAnsi="Arial" w:cs="Arial"/>
          <w:lang w:val="es-ES"/>
        </w:rPr>
        <w:t>las áreas</w:t>
      </w:r>
      <w:r w:rsidR="004D66C6" w:rsidRPr="00732907">
        <w:rPr>
          <w:rFonts w:ascii="Arial" w:eastAsia="Times New Roman" w:hAnsi="Arial" w:cs="Arial"/>
          <w:lang w:val="es-ES"/>
        </w:rPr>
        <w:t xml:space="preserve"> de recursos materiales</w:t>
      </w:r>
      <w:r w:rsidR="00CC363F" w:rsidRPr="00732907">
        <w:rPr>
          <w:rFonts w:ascii="Arial" w:eastAsia="Times New Roman" w:hAnsi="Arial" w:cs="Arial"/>
          <w:lang w:val="es-ES"/>
        </w:rPr>
        <w:t>, infraestructura y la de</w:t>
      </w:r>
      <w:r w:rsidR="0009469A" w:rsidRPr="00732907">
        <w:rPr>
          <w:rFonts w:ascii="Arial" w:eastAsia="Times New Roman" w:hAnsi="Arial" w:cs="Arial"/>
          <w:lang w:val="es-ES"/>
        </w:rPr>
        <w:t xml:space="preserve"> sistemas de la universidad </w:t>
      </w:r>
      <w:r>
        <w:rPr>
          <w:rFonts w:ascii="Arial" w:eastAsia="Times New Roman" w:hAnsi="Arial" w:cs="Arial"/>
          <w:lang w:val="es-ES"/>
        </w:rPr>
        <w:t xml:space="preserve">se </w:t>
      </w:r>
      <w:r w:rsidRPr="00732907">
        <w:rPr>
          <w:rFonts w:ascii="Arial" w:eastAsia="Times New Roman" w:hAnsi="Arial" w:cs="Arial"/>
          <w:lang w:val="es-ES"/>
        </w:rPr>
        <w:t>realizó</w:t>
      </w:r>
      <w:r w:rsidR="00C57109" w:rsidRPr="00732907">
        <w:rPr>
          <w:rFonts w:ascii="Arial" w:eastAsia="Times New Roman" w:hAnsi="Arial" w:cs="Arial"/>
          <w:lang w:val="es-ES"/>
        </w:rPr>
        <w:t xml:space="preserve"> las gestiones necesarias para </w:t>
      </w:r>
      <w:r>
        <w:rPr>
          <w:rFonts w:ascii="Arial" w:eastAsia="Times New Roman" w:hAnsi="Arial" w:cs="Arial"/>
          <w:lang w:val="es-ES"/>
        </w:rPr>
        <w:t>la formulación del</w:t>
      </w:r>
      <w:r w:rsidR="00CC363F" w:rsidRPr="00732907">
        <w:rPr>
          <w:rFonts w:ascii="Arial" w:eastAsia="Times New Roman" w:hAnsi="Arial" w:cs="Arial"/>
          <w:lang w:val="es-ES"/>
        </w:rPr>
        <w:t xml:space="preserve"> diagnóstico.</w:t>
      </w:r>
    </w:p>
    <w:p w:rsidR="00842D6B" w:rsidRDefault="00842D6B" w:rsidP="00842D6B">
      <w:pPr>
        <w:jc w:val="both"/>
        <w:rPr>
          <w:rFonts w:ascii="Arial" w:eastAsia="Times New Roman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Lic. Julia Contreras:</w:t>
      </w:r>
      <w:r>
        <w:rPr>
          <w:rFonts w:ascii="Arial" w:hAnsi="Arial" w:cs="Arial"/>
          <w:sz w:val="24"/>
          <w:szCs w:val="24"/>
          <w:lang w:val="es-ES"/>
        </w:rPr>
        <w:t xml:space="preserve"> pone a consideración las actualizaciones </w:t>
      </w:r>
      <w:r w:rsidR="00EC4370">
        <w:rPr>
          <w:rFonts w:ascii="Arial" w:hAnsi="Arial" w:cs="Arial"/>
          <w:sz w:val="24"/>
          <w:szCs w:val="24"/>
          <w:lang w:val="es-ES"/>
        </w:rPr>
        <w:t xml:space="preserve">del documento de diagnóstico </w:t>
      </w:r>
      <w:r>
        <w:rPr>
          <w:rFonts w:ascii="Arial" w:hAnsi="Arial" w:cs="Arial"/>
          <w:sz w:val="24"/>
          <w:szCs w:val="24"/>
          <w:lang w:val="es-ES"/>
        </w:rPr>
        <w:t>al comité de transparencia</w:t>
      </w:r>
      <w:r w:rsidR="00EC4370">
        <w:rPr>
          <w:rFonts w:ascii="Arial" w:hAnsi="Arial" w:cs="Arial"/>
          <w:sz w:val="24"/>
          <w:szCs w:val="24"/>
          <w:lang w:val="es-ES"/>
        </w:rPr>
        <w:t>.</w:t>
      </w:r>
    </w:p>
    <w:p w:rsidR="00CC363F" w:rsidRDefault="00CA1B7B" w:rsidP="00390A85">
      <w:pPr>
        <w:jc w:val="both"/>
        <w:rPr>
          <w:rFonts w:ascii="Arial" w:eastAsia="Times New Roman" w:hAnsi="Arial" w:cs="Arial"/>
          <w:sz w:val="24"/>
          <w:szCs w:val="24"/>
          <w:lang w:val="es-ES"/>
        </w:rPr>
      </w:pPr>
      <w:r w:rsidRPr="00EC4370">
        <w:rPr>
          <w:rFonts w:ascii="Arial" w:hAnsi="Arial" w:cs="Arial"/>
          <w:b/>
          <w:u w:val="single"/>
          <w:lang w:val="es-ES"/>
        </w:rPr>
        <w:t>Se aprueba</w:t>
      </w:r>
      <w:r w:rsidR="00EE6928" w:rsidRPr="00EC4370">
        <w:rPr>
          <w:rFonts w:ascii="Arial" w:eastAsia="Times New Roman" w:hAnsi="Arial" w:cs="Arial"/>
          <w:b/>
          <w:u w:val="single"/>
          <w:lang w:val="es-ES"/>
        </w:rPr>
        <w:t xml:space="preserve"> y </w:t>
      </w:r>
      <w:r w:rsidR="00925BF5" w:rsidRPr="00EC4370">
        <w:rPr>
          <w:rFonts w:ascii="Arial" w:eastAsia="Times New Roman" w:hAnsi="Arial" w:cs="Arial"/>
          <w:b/>
          <w:u w:val="single"/>
          <w:lang w:val="es-ES"/>
        </w:rPr>
        <w:t xml:space="preserve">se </w:t>
      </w:r>
      <w:r w:rsidR="00A007BE" w:rsidRPr="00EC4370">
        <w:rPr>
          <w:rFonts w:ascii="Arial" w:eastAsia="Times New Roman" w:hAnsi="Arial" w:cs="Arial"/>
          <w:b/>
          <w:u w:val="single"/>
          <w:lang w:val="es-ES"/>
        </w:rPr>
        <w:t>autorizan</w:t>
      </w:r>
      <w:r w:rsidR="00EC4370">
        <w:rPr>
          <w:rFonts w:ascii="Arial" w:eastAsia="Times New Roman" w:hAnsi="Arial" w:cs="Arial"/>
          <w:b/>
          <w:u w:val="single"/>
          <w:lang w:val="es-ES"/>
        </w:rPr>
        <w:t>,</w:t>
      </w:r>
      <w:r w:rsidR="00A007BE" w:rsidRPr="00925BF5">
        <w:rPr>
          <w:rFonts w:ascii="Arial" w:eastAsia="Times New Roman" w:hAnsi="Arial" w:cs="Arial"/>
          <w:lang w:val="es-ES"/>
        </w:rPr>
        <w:t xml:space="preserve"> los cambios realizados</w:t>
      </w:r>
      <w:r w:rsidR="00A007BE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25BF5" w:rsidRPr="00925BF5">
        <w:rPr>
          <w:rFonts w:ascii="Arial" w:eastAsia="Times New Roman" w:hAnsi="Arial" w:cs="Arial"/>
          <w:lang w:val="es-ES"/>
        </w:rPr>
        <w:t>al</w:t>
      </w:r>
      <w:r w:rsidR="00925BF5">
        <w:rPr>
          <w:rFonts w:ascii="Arial" w:eastAsia="Times New Roman" w:hAnsi="Arial" w:cs="Arial"/>
          <w:sz w:val="24"/>
          <w:szCs w:val="24"/>
          <w:lang w:val="es-ES"/>
        </w:rPr>
        <w:t xml:space="preserve"> </w:t>
      </w:r>
      <w:r w:rsidR="00925BF5" w:rsidRPr="00732907">
        <w:rPr>
          <w:rFonts w:ascii="Arial" w:hAnsi="Arial" w:cs="Arial"/>
          <w:lang w:val="es-ES"/>
        </w:rPr>
        <w:t>documento de diagnóstico</w:t>
      </w:r>
      <w:r w:rsidR="00925BF5">
        <w:rPr>
          <w:rFonts w:ascii="Arial" w:hAnsi="Arial" w:cs="Arial"/>
          <w:lang w:val="es-ES"/>
        </w:rPr>
        <w:t xml:space="preserve"> </w:t>
      </w:r>
      <w:r w:rsidR="00925BF5" w:rsidRPr="00732907">
        <w:rPr>
          <w:rFonts w:ascii="Arial" w:hAnsi="Arial" w:cs="Arial"/>
          <w:lang w:val="es-ES"/>
        </w:rPr>
        <w:t xml:space="preserve">donde los sujetos obligados garanticen las condiciones de accesibilidad, que permitan el ejercicio de los derechos humanos de acceso a la información y protección de datos </w:t>
      </w:r>
      <w:r w:rsidR="00925BF5">
        <w:rPr>
          <w:rFonts w:ascii="Arial" w:hAnsi="Arial" w:cs="Arial"/>
          <w:lang w:val="es-ES"/>
        </w:rPr>
        <w:t>personales a grupos vulnerables, ordenándose se lleve a cabo la publicación del mismo en el apartado de transparencia de la universidad tecnológica de la zona metropolitana de Guadalajara.</w:t>
      </w:r>
    </w:p>
    <w:p w:rsidR="003E0576" w:rsidRDefault="003E0576" w:rsidP="003E057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5E3F33">
        <w:rPr>
          <w:rFonts w:ascii="Arial" w:hAnsi="Arial" w:cs="Arial"/>
          <w:sz w:val="24"/>
          <w:szCs w:val="24"/>
          <w:lang w:val="es-ES"/>
        </w:rPr>
        <w:t>No existiendo más asu</w:t>
      </w:r>
      <w:r w:rsidR="005E3F33" w:rsidRPr="005E3F33">
        <w:rPr>
          <w:rFonts w:ascii="Arial" w:hAnsi="Arial" w:cs="Arial"/>
          <w:sz w:val="24"/>
          <w:szCs w:val="24"/>
          <w:lang w:val="es-ES"/>
        </w:rPr>
        <w:t xml:space="preserve">ntos que tratar siendo las 15:00 quince </w:t>
      </w:r>
      <w:r w:rsidRPr="005E3F33">
        <w:rPr>
          <w:rFonts w:ascii="Arial" w:hAnsi="Arial" w:cs="Arial"/>
          <w:sz w:val="24"/>
          <w:szCs w:val="24"/>
          <w:lang w:val="es-ES"/>
        </w:rPr>
        <w:t>horas, se da por concluida la sesión y se levanta la presente constancia para efectos legales a que haya lugar, firmando en ella los que intervinieron.</w:t>
      </w: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670C06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Comité de Transparencia de la</w:t>
      </w:r>
      <w:r w:rsidR="002F14B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210A15">
        <w:rPr>
          <w:rFonts w:ascii="Arial" w:hAnsi="Arial" w:cs="Arial"/>
          <w:b/>
          <w:sz w:val="24"/>
          <w:szCs w:val="24"/>
          <w:lang w:val="es-ES"/>
        </w:rPr>
        <w:t>Universidad Tecnológica de</w:t>
      </w:r>
    </w:p>
    <w:p w:rsidR="00670C06" w:rsidRDefault="00670C06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2F14BD" w:rsidRDefault="002F14BD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CC363F" w:rsidRDefault="00CC363F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09469A" w:rsidRPr="00210A15" w:rsidRDefault="0009469A" w:rsidP="002F14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B87302" w:rsidTr="00F0245A"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Pr="00210A15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Mtra</w:t>
            </w: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María de los Ángeles Gutiérrez Caballero</w:t>
            </w:r>
          </w:p>
          <w:p w:rsidR="0009469A" w:rsidRPr="0009469A" w:rsidRDefault="0009469A" w:rsidP="0009469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09469A">
              <w:rPr>
                <w:rFonts w:ascii="Arial" w:hAnsi="Arial" w:cs="Arial"/>
                <w:sz w:val="16"/>
                <w:szCs w:val="16"/>
                <w:lang w:val="es-ES"/>
              </w:rPr>
              <w:t>Titular del Órgano Interno de Control de la Universidad</w:t>
            </w:r>
          </w:p>
          <w:p w:rsidR="00F0245A" w:rsidRPr="00210A15" w:rsidRDefault="00F0245A" w:rsidP="0009469A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09469A" w:rsidRPr="00210A15" w:rsidRDefault="0009469A" w:rsidP="0009469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F0245A" w:rsidRPr="0009469A" w:rsidRDefault="0009469A" w:rsidP="0009469A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9469A">
              <w:rPr>
                <w:rFonts w:ascii="Arial" w:hAnsi="Arial" w:cs="Arial"/>
                <w:sz w:val="18"/>
                <w:szCs w:val="18"/>
                <w:lang w:val="es-ES"/>
              </w:rPr>
              <w:t>Secretaria del Comité</w:t>
            </w:r>
          </w:p>
        </w:tc>
      </w:tr>
    </w:tbl>
    <w:p w:rsidR="00670C06" w:rsidRPr="00210A15" w:rsidRDefault="00670C06" w:rsidP="004D66C6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0D315E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B1" w:rsidRDefault="00051BB1" w:rsidP="00213385">
      <w:pPr>
        <w:spacing w:after="0" w:line="240" w:lineRule="auto"/>
      </w:pPr>
      <w:r>
        <w:separator/>
      </w:r>
    </w:p>
  </w:endnote>
  <w:endnote w:type="continuationSeparator" w:id="0">
    <w:p w:rsidR="00051BB1" w:rsidRDefault="00051BB1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4D66C6">
    <w:pPr>
      <w:pStyle w:val="Piedepgina"/>
      <w:jc w:val="center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 xml:space="preserve">La presente hoja forma parte del </w:t>
    </w:r>
    <w:r w:rsidR="004D66C6">
      <w:rPr>
        <w:sz w:val="16"/>
        <w:szCs w:val="16"/>
        <w:lang w:val="es-ES"/>
      </w:rPr>
      <w:t>Segunda</w:t>
    </w:r>
    <w:r w:rsidR="00C57109">
      <w:rPr>
        <w:sz w:val="16"/>
        <w:szCs w:val="16"/>
        <w:lang w:val="es-ES"/>
      </w:rPr>
      <w:t xml:space="preserve"> Sesión Extraordinaria (1ra</w:t>
    </w:r>
    <w:r w:rsidR="0020131A">
      <w:rPr>
        <w:sz w:val="16"/>
        <w:szCs w:val="16"/>
        <w:lang w:val="es-ES"/>
      </w:rPr>
      <w:t xml:space="preserve"> del 202</w:t>
    </w:r>
    <w:r w:rsidR="004D66C6">
      <w:rPr>
        <w:sz w:val="16"/>
        <w:szCs w:val="16"/>
        <w:lang w:val="es-ES"/>
      </w:rPr>
      <w:t>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5E3F33" w:rsidRPr="005E3F33">
      <w:rPr>
        <w:sz w:val="16"/>
        <w:szCs w:val="16"/>
        <w:lang w:val="es-ES"/>
      </w:rPr>
      <w:t>29 de septiembre del 2022</w:t>
    </w:r>
    <w:r w:rsidR="005E3F33">
      <w:rPr>
        <w:sz w:val="16"/>
        <w:szCs w:val="16"/>
        <w:lang w:val="es-ES"/>
      </w:rPr>
      <w:t>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3E7690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3E7690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B1" w:rsidRDefault="00051BB1" w:rsidP="00213385">
      <w:pPr>
        <w:spacing w:after="0" w:line="240" w:lineRule="auto"/>
      </w:pPr>
      <w:r>
        <w:separator/>
      </w:r>
    </w:p>
  </w:footnote>
  <w:footnote w:type="continuationSeparator" w:id="0">
    <w:p w:rsidR="00051BB1" w:rsidRDefault="00051BB1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644B8"/>
    <w:multiLevelType w:val="hybridMultilevel"/>
    <w:tmpl w:val="EF149472"/>
    <w:styleLink w:val="Nmero"/>
    <w:lvl w:ilvl="0" w:tplc="8068B39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27C114E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F6AD72A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6AAA1E4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7CAD25C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8E689A24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72B0FA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19F400A0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96A672C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F0A52"/>
    <w:multiLevelType w:val="hybridMultilevel"/>
    <w:tmpl w:val="EF149472"/>
    <w:numStyleLink w:val="Nmero"/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4"/>
    <w:rsid w:val="00002619"/>
    <w:rsid w:val="00017E49"/>
    <w:rsid w:val="00040C58"/>
    <w:rsid w:val="000459F4"/>
    <w:rsid w:val="00051BB1"/>
    <w:rsid w:val="0007389A"/>
    <w:rsid w:val="00090FA6"/>
    <w:rsid w:val="0009469A"/>
    <w:rsid w:val="000A5897"/>
    <w:rsid w:val="000B5825"/>
    <w:rsid w:val="000B7B73"/>
    <w:rsid w:val="000D315E"/>
    <w:rsid w:val="000E3D8F"/>
    <w:rsid w:val="000F1224"/>
    <w:rsid w:val="00141DB0"/>
    <w:rsid w:val="00145E27"/>
    <w:rsid w:val="00183081"/>
    <w:rsid w:val="00192FC7"/>
    <w:rsid w:val="00197C91"/>
    <w:rsid w:val="001B2D97"/>
    <w:rsid w:val="001C6C81"/>
    <w:rsid w:val="001D48FF"/>
    <w:rsid w:val="0020131A"/>
    <w:rsid w:val="00210A15"/>
    <w:rsid w:val="00213385"/>
    <w:rsid w:val="00222E13"/>
    <w:rsid w:val="002647C1"/>
    <w:rsid w:val="00266694"/>
    <w:rsid w:val="0028237D"/>
    <w:rsid w:val="00284FA9"/>
    <w:rsid w:val="0028751B"/>
    <w:rsid w:val="002A5851"/>
    <w:rsid w:val="002A6B00"/>
    <w:rsid w:val="002B3EDD"/>
    <w:rsid w:val="002C1CDB"/>
    <w:rsid w:val="002C58ED"/>
    <w:rsid w:val="002F14BD"/>
    <w:rsid w:val="002F71F7"/>
    <w:rsid w:val="00317908"/>
    <w:rsid w:val="003257D4"/>
    <w:rsid w:val="003329E9"/>
    <w:rsid w:val="0034282A"/>
    <w:rsid w:val="00342B9E"/>
    <w:rsid w:val="0034607C"/>
    <w:rsid w:val="00354537"/>
    <w:rsid w:val="003836F0"/>
    <w:rsid w:val="00390A85"/>
    <w:rsid w:val="003957E0"/>
    <w:rsid w:val="003A0E73"/>
    <w:rsid w:val="003A191B"/>
    <w:rsid w:val="003A1D50"/>
    <w:rsid w:val="003B69A1"/>
    <w:rsid w:val="003C0186"/>
    <w:rsid w:val="003D7FF9"/>
    <w:rsid w:val="003E0576"/>
    <w:rsid w:val="003E37FF"/>
    <w:rsid w:val="003E7690"/>
    <w:rsid w:val="003F4DCA"/>
    <w:rsid w:val="004000E4"/>
    <w:rsid w:val="00404010"/>
    <w:rsid w:val="004252F7"/>
    <w:rsid w:val="00433E26"/>
    <w:rsid w:val="004541B5"/>
    <w:rsid w:val="00470B31"/>
    <w:rsid w:val="00472A5B"/>
    <w:rsid w:val="00482AB5"/>
    <w:rsid w:val="00485CF2"/>
    <w:rsid w:val="004B68EE"/>
    <w:rsid w:val="004C170C"/>
    <w:rsid w:val="004D66C6"/>
    <w:rsid w:val="004F491C"/>
    <w:rsid w:val="004F4D8A"/>
    <w:rsid w:val="00501462"/>
    <w:rsid w:val="00514B2F"/>
    <w:rsid w:val="005259C3"/>
    <w:rsid w:val="005261E6"/>
    <w:rsid w:val="00526AC4"/>
    <w:rsid w:val="0053513B"/>
    <w:rsid w:val="005550A4"/>
    <w:rsid w:val="00555D7D"/>
    <w:rsid w:val="005B5B1A"/>
    <w:rsid w:val="005C6F6C"/>
    <w:rsid w:val="005E3F33"/>
    <w:rsid w:val="005E401C"/>
    <w:rsid w:val="00604D05"/>
    <w:rsid w:val="006147DD"/>
    <w:rsid w:val="0062187A"/>
    <w:rsid w:val="0062282C"/>
    <w:rsid w:val="00623E3F"/>
    <w:rsid w:val="0063573C"/>
    <w:rsid w:val="0064137A"/>
    <w:rsid w:val="006533D6"/>
    <w:rsid w:val="00666814"/>
    <w:rsid w:val="00670C06"/>
    <w:rsid w:val="00672DD9"/>
    <w:rsid w:val="00684A7A"/>
    <w:rsid w:val="006948B0"/>
    <w:rsid w:val="006A0404"/>
    <w:rsid w:val="006A3929"/>
    <w:rsid w:val="006A3DA1"/>
    <w:rsid w:val="006A684A"/>
    <w:rsid w:val="006A7D36"/>
    <w:rsid w:val="006F061F"/>
    <w:rsid w:val="006F52F3"/>
    <w:rsid w:val="006F58E1"/>
    <w:rsid w:val="00711951"/>
    <w:rsid w:val="007225C7"/>
    <w:rsid w:val="007228C6"/>
    <w:rsid w:val="00732907"/>
    <w:rsid w:val="00733AB3"/>
    <w:rsid w:val="00736E8F"/>
    <w:rsid w:val="0074482E"/>
    <w:rsid w:val="0075723C"/>
    <w:rsid w:val="00761994"/>
    <w:rsid w:val="0077043E"/>
    <w:rsid w:val="00773752"/>
    <w:rsid w:val="00776415"/>
    <w:rsid w:val="00782FBC"/>
    <w:rsid w:val="00797635"/>
    <w:rsid w:val="007A5F73"/>
    <w:rsid w:val="007B13C7"/>
    <w:rsid w:val="007B1ADD"/>
    <w:rsid w:val="007B33A0"/>
    <w:rsid w:val="007C0C32"/>
    <w:rsid w:val="007C1A33"/>
    <w:rsid w:val="007D458D"/>
    <w:rsid w:val="007E1AB8"/>
    <w:rsid w:val="007E695F"/>
    <w:rsid w:val="007F1C26"/>
    <w:rsid w:val="00811B84"/>
    <w:rsid w:val="00817A8D"/>
    <w:rsid w:val="00826670"/>
    <w:rsid w:val="00837DFA"/>
    <w:rsid w:val="00842D6B"/>
    <w:rsid w:val="00851E62"/>
    <w:rsid w:val="00862AEC"/>
    <w:rsid w:val="008818DB"/>
    <w:rsid w:val="008A45D0"/>
    <w:rsid w:val="008B0369"/>
    <w:rsid w:val="008B5D53"/>
    <w:rsid w:val="008D6CD3"/>
    <w:rsid w:val="00911C51"/>
    <w:rsid w:val="0091554D"/>
    <w:rsid w:val="00925BF5"/>
    <w:rsid w:val="009344D6"/>
    <w:rsid w:val="00944791"/>
    <w:rsid w:val="00946566"/>
    <w:rsid w:val="0096366B"/>
    <w:rsid w:val="00966857"/>
    <w:rsid w:val="00971CE4"/>
    <w:rsid w:val="0098636F"/>
    <w:rsid w:val="009E2BBA"/>
    <w:rsid w:val="009F4F26"/>
    <w:rsid w:val="009F6C77"/>
    <w:rsid w:val="00A007BE"/>
    <w:rsid w:val="00A04930"/>
    <w:rsid w:val="00A071E9"/>
    <w:rsid w:val="00A101C4"/>
    <w:rsid w:val="00A27E10"/>
    <w:rsid w:val="00A511F7"/>
    <w:rsid w:val="00A51B2D"/>
    <w:rsid w:val="00A61328"/>
    <w:rsid w:val="00A849D1"/>
    <w:rsid w:val="00A85D71"/>
    <w:rsid w:val="00A94717"/>
    <w:rsid w:val="00A94E59"/>
    <w:rsid w:val="00AA33C9"/>
    <w:rsid w:val="00AB41B0"/>
    <w:rsid w:val="00AB4A1F"/>
    <w:rsid w:val="00AC3439"/>
    <w:rsid w:val="00AE295F"/>
    <w:rsid w:val="00AE483E"/>
    <w:rsid w:val="00AF2C6D"/>
    <w:rsid w:val="00AF6011"/>
    <w:rsid w:val="00B03629"/>
    <w:rsid w:val="00B21BC1"/>
    <w:rsid w:val="00B41EE0"/>
    <w:rsid w:val="00B70C97"/>
    <w:rsid w:val="00B719CB"/>
    <w:rsid w:val="00B80928"/>
    <w:rsid w:val="00B80DC3"/>
    <w:rsid w:val="00B85898"/>
    <w:rsid w:val="00B87302"/>
    <w:rsid w:val="00B9042F"/>
    <w:rsid w:val="00B91EF7"/>
    <w:rsid w:val="00B962D6"/>
    <w:rsid w:val="00BC573C"/>
    <w:rsid w:val="00BC602E"/>
    <w:rsid w:val="00BD5F34"/>
    <w:rsid w:val="00BD7538"/>
    <w:rsid w:val="00C02305"/>
    <w:rsid w:val="00C02C73"/>
    <w:rsid w:val="00C06CD9"/>
    <w:rsid w:val="00C17DCA"/>
    <w:rsid w:val="00C21500"/>
    <w:rsid w:val="00C21FF1"/>
    <w:rsid w:val="00C26EC2"/>
    <w:rsid w:val="00C30A79"/>
    <w:rsid w:val="00C57109"/>
    <w:rsid w:val="00C737AA"/>
    <w:rsid w:val="00C74FE2"/>
    <w:rsid w:val="00C8215D"/>
    <w:rsid w:val="00CA14F2"/>
    <w:rsid w:val="00CA1B7B"/>
    <w:rsid w:val="00CB2186"/>
    <w:rsid w:val="00CC363F"/>
    <w:rsid w:val="00CD3E14"/>
    <w:rsid w:val="00CD6D32"/>
    <w:rsid w:val="00CE2CE7"/>
    <w:rsid w:val="00CE793D"/>
    <w:rsid w:val="00CF576D"/>
    <w:rsid w:val="00D04E55"/>
    <w:rsid w:val="00D07E49"/>
    <w:rsid w:val="00D31797"/>
    <w:rsid w:val="00D45494"/>
    <w:rsid w:val="00D50793"/>
    <w:rsid w:val="00D55BB8"/>
    <w:rsid w:val="00D608ED"/>
    <w:rsid w:val="00D83552"/>
    <w:rsid w:val="00DA3F4E"/>
    <w:rsid w:val="00DA40E1"/>
    <w:rsid w:val="00DB4A84"/>
    <w:rsid w:val="00DB7C49"/>
    <w:rsid w:val="00DC169C"/>
    <w:rsid w:val="00DE06FC"/>
    <w:rsid w:val="00DE18B9"/>
    <w:rsid w:val="00DE6728"/>
    <w:rsid w:val="00E00F2C"/>
    <w:rsid w:val="00E066AB"/>
    <w:rsid w:val="00E11DC4"/>
    <w:rsid w:val="00E12269"/>
    <w:rsid w:val="00E2199C"/>
    <w:rsid w:val="00E30D2E"/>
    <w:rsid w:val="00E41FF8"/>
    <w:rsid w:val="00E536B0"/>
    <w:rsid w:val="00E65DFE"/>
    <w:rsid w:val="00E835C0"/>
    <w:rsid w:val="00E92F5B"/>
    <w:rsid w:val="00EB5C2D"/>
    <w:rsid w:val="00EC1F3B"/>
    <w:rsid w:val="00EC3178"/>
    <w:rsid w:val="00EC4370"/>
    <w:rsid w:val="00EC6A69"/>
    <w:rsid w:val="00ED0EF8"/>
    <w:rsid w:val="00ED4C7C"/>
    <w:rsid w:val="00ED5E14"/>
    <w:rsid w:val="00EE1F77"/>
    <w:rsid w:val="00EE1FE5"/>
    <w:rsid w:val="00EE2D08"/>
    <w:rsid w:val="00EE3764"/>
    <w:rsid w:val="00EE6928"/>
    <w:rsid w:val="00EF55E1"/>
    <w:rsid w:val="00F0245A"/>
    <w:rsid w:val="00F118B5"/>
    <w:rsid w:val="00F272DC"/>
    <w:rsid w:val="00F3036F"/>
    <w:rsid w:val="00F514BA"/>
    <w:rsid w:val="00F62057"/>
    <w:rsid w:val="00F62AAE"/>
    <w:rsid w:val="00FA282B"/>
    <w:rsid w:val="00FA6109"/>
    <w:rsid w:val="00FB3B27"/>
    <w:rsid w:val="00F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7D56ED-1612-4576-9ECE-38736521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determinado">
    <w:name w:val="Predeterminado"/>
    <w:rsid w:val="000946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s-MX" w:eastAsia="es-MX"/>
    </w:rPr>
  </w:style>
  <w:style w:type="character" w:customStyle="1" w:styleId="Ninguno">
    <w:name w:val="Ninguno"/>
    <w:rsid w:val="0009469A"/>
  </w:style>
  <w:style w:type="numbering" w:customStyle="1" w:styleId="Nmero">
    <w:name w:val="Número"/>
    <w:rsid w:val="0009469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19436-C97D-4819-9B1B-6A13C5DA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1173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12</cp:revision>
  <cp:lastPrinted>2022-10-03T15:45:00Z</cp:lastPrinted>
  <dcterms:created xsi:type="dcterms:W3CDTF">2022-09-19T16:44:00Z</dcterms:created>
  <dcterms:modified xsi:type="dcterms:W3CDTF">2022-10-03T15:45:00Z</dcterms:modified>
</cp:coreProperties>
</file>